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Alternative Scene Scoring Tool (Vertical Format)</w:t>
      </w:r>
    </w:p>
    <w:p>
      <w:r>
        <w:t>This worksheet allows readers to evaluate a single theory or alternative scene against ten key dimensions using a 0–5 scoring system. Add up the scores and compare to the grouping guide below.</w:t>
      </w:r>
    </w:p>
    <w:p>
      <w:r>
        <w:t>Scoring Scale (0–5):  0 = Unsupported | 1 = Very Weak | 2 = Weak | 3 = Moderate | 4 = Strong | 5 = Very Strong</w:t>
      </w:r>
    </w:p>
    <w:p>
      <w:pPr>
        <w:pStyle w:val="Heading2"/>
      </w:pPr>
      <w:r>
        <w:t>1. Literature Review Support: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2. Logic and Critical Thinking: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3. Occam’s Razor (simplicity and minimal assumptions):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4. Vulnerability to Cognitive Biases: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5. Crime Scene Consistency: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6. Victimology Fit (aligns with known behavior):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7. Media Influence or Hype Effects: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8. Digital Forensics or Tech Evidence: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9. Evidence Hierarchy / Strength of Evidence: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10. Psychological Autopsy Alignment: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t>11. Ethical Speculation (speculative fairness &amp; restraint):</w:t>
      </w:r>
    </w:p>
    <w:p>
      <w:r>
        <w:t>Score (0–5): ________</w:t>
      </w:r>
    </w:p>
    <w:p>
      <w:r>
        <w:t>Notes: ____________________________________________________</w:t>
      </w:r>
    </w:p>
    <w:p>
      <w:r>
        <w:t>____________________________________________________________</w:t>
      </w:r>
    </w:p>
    <w:p>
      <w:pPr>
        <w:pStyle w:val="Heading2"/>
      </w:pPr>
      <w:r>
        <w:br/>
        <w:t>Total Score: ______ / 55</w:t>
      </w:r>
    </w:p>
    <w:p>
      <w:pPr>
        <w:pStyle w:val="Heading2"/>
      </w:pPr>
      <w:r>
        <w:t>Grouping Guide:</w:t>
      </w:r>
    </w:p>
    <w:p>
      <w:r>
        <w:t>✔ 45–55 = More Likely</w:t>
        <w:br/>
        <w:t>✔ 30–44 = Possible</w:t>
        <w:br/>
        <w:t>✔ 0–29 = Less Likely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